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B50F4" w14:textId="2584BCCC" w:rsidR="00DD5C8C" w:rsidRPr="00DD5C8C" w:rsidRDefault="00DD5C8C" w:rsidP="00DD5C8C">
      <w:pPr>
        <w:shd w:val="clear" w:color="auto" w:fill="FFFFFF"/>
        <w:spacing w:after="0" w:line="240" w:lineRule="auto"/>
        <w:outlineLvl w:val="0"/>
        <w:rPr>
          <w:rFonts w:ascii="Lato" w:eastAsia="Times New Roman" w:hAnsi="Lato" w:cs="Times New Roman"/>
          <w:color w:val="CC3300"/>
          <w:kern w:val="36"/>
          <w:sz w:val="36"/>
          <w:szCs w:val="36"/>
          <w:lang w:eastAsia="fr-BE"/>
        </w:rPr>
      </w:pPr>
      <w:r w:rsidRPr="00DD5C8C">
        <w:rPr>
          <w:rFonts w:ascii="Lato" w:eastAsia="Times New Roman" w:hAnsi="Lato" w:cs="Times New Roman"/>
          <w:color w:val="CC3300"/>
          <w:kern w:val="36"/>
          <w:sz w:val="36"/>
          <w:szCs w:val="36"/>
          <w:lang w:eastAsia="fr-BE"/>
        </w:rPr>
        <w:t>Métaux mineurs</w:t>
      </w:r>
      <w:r>
        <w:rPr>
          <w:rFonts w:ascii="Lato" w:eastAsia="Times New Roman" w:hAnsi="Lato" w:cs="Times New Roman"/>
          <w:color w:val="CC3300"/>
          <w:kern w:val="36"/>
          <w:sz w:val="36"/>
          <w:szCs w:val="36"/>
          <w:lang w:eastAsia="fr-BE"/>
        </w:rPr>
        <w:t xml:space="preserve">, </w:t>
      </w:r>
      <w:r w:rsidRPr="00DD5C8C">
        <w:rPr>
          <w:rFonts w:ascii="Lato" w:eastAsia="Times New Roman" w:hAnsi="Lato" w:cs="Times New Roman"/>
          <w:color w:val="CC3300"/>
          <w:kern w:val="36"/>
          <w:sz w:val="36"/>
          <w:szCs w:val="36"/>
          <w:lang w:eastAsia="fr-BE"/>
        </w:rPr>
        <w:t>le lithium toujours aussi prisé</w:t>
      </w:r>
    </w:p>
    <w:p w14:paraId="7945D9F7" w14:textId="77777777" w:rsidR="00DD5C8C" w:rsidRPr="00DD5C8C" w:rsidRDefault="00DD5C8C" w:rsidP="00DD5C8C">
      <w:pPr>
        <w:shd w:val="clear" w:color="auto" w:fill="FFFFFF"/>
        <w:spacing w:before="75" w:after="75" w:line="240" w:lineRule="auto"/>
        <w:jc w:val="both"/>
        <w:rPr>
          <w:rFonts w:ascii="Lato" w:eastAsia="Times New Roman" w:hAnsi="Lato" w:cs="Times New Roman"/>
          <w:color w:val="000000"/>
          <w:sz w:val="23"/>
          <w:szCs w:val="23"/>
          <w:lang w:eastAsia="fr-BE"/>
        </w:rPr>
      </w:pPr>
      <w:r w:rsidRPr="00DD5C8C">
        <w:rPr>
          <w:rFonts w:ascii="Lato" w:eastAsia="Times New Roman" w:hAnsi="Lato" w:cs="Times New Roman"/>
          <w:b/>
          <w:bCs/>
          <w:color w:val="000000"/>
          <w:sz w:val="23"/>
          <w:szCs w:val="23"/>
          <w:lang w:eastAsia="fr-BE"/>
        </w:rPr>
        <w:t>Dire que lithium est un métal d’avenir est un euphémisme, il n’est donc pas surprenant de voir les groupes miniers développer des projets d’extraction.</w:t>
      </w:r>
    </w:p>
    <w:p w14:paraId="07C7DEC8" w14:textId="77777777" w:rsidR="00DD5C8C" w:rsidRPr="00DD5C8C" w:rsidRDefault="00DD5C8C" w:rsidP="00DD5C8C">
      <w:pPr>
        <w:shd w:val="clear" w:color="auto" w:fill="FFFFFF"/>
        <w:spacing w:before="75" w:after="75" w:line="240" w:lineRule="auto"/>
        <w:jc w:val="both"/>
        <w:rPr>
          <w:rFonts w:ascii="Lato" w:eastAsia="Times New Roman" w:hAnsi="Lato" w:cs="Times New Roman"/>
          <w:color w:val="000000"/>
          <w:sz w:val="23"/>
          <w:szCs w:val="23"/>
          <w:lang w:eastAsia="fr-BE"/>
        </w:rPr>
      </w:pPr>
      <w:r w:rsidRPr="00DD5C8C">
        <w:rPr>
          <w:rFonts w:ascii="Lato" w:eastAsia="Times New Roman" w:hAnsi="Lato" w:cs="Times New Roman"/>
          <w:color w:val="000000"/>
          <w:sz w:val="23"/>
          <w:szCs w:val="23"/>
          <w:lang w:eastAsia="fr-BE"/>
        </w:rPr>
        <w:t> </w:t>
      </w:r>
    </w:p>
    <w:p w14:paraId="19BA507C" w14:textId="77777777" w:rsidR="00DD5C8C" w:rsidRPr="00DD5C8C" w:rsidRDefault="00DD5C8C" w:rsidP="00DD5C8C">
      <w:pPr>
        <w:shd w:val="clear" w:color="auto" w:fill="FFFFFF"/>
        <w:spacing w:before="75" w:after="75" w:line="240" w:lineRule="auto"/>
        <w:jc w:val="both"/>
        <w:rPr>
          <w:rFonts w:ascii="Lato" w:eastAsia="Times New Roman" w:hAnsi="Lato" w:cs="Times New Roman"/>
          <w:color w:val="000000"/>
          <w:sz w:val="23"/>
          <w:szCs w:val="23"/>
          <w:lang w:eastAsia="fr-BE"/>
        </w:rPr>
      </w:pPr>
      <w:r w:rsidRPr="00DD5C8C">
        <w:rPr>
          <w:rFonts w:ascii="Lato" w:eastAsia="Times New Roman" w:hAnsi="Lato" w:cs="Times New Roman"/>
          <w:b/>
          <w:bCs/>
          <w:color w:val="A52A2A"/>
          <w:sz w:val="23"/>
          <w:szCs w:val="23"/>
          <w:lang w:eastAsia="fr-BE"/>
        </w:rPr>
        <w:t xml:space="preserve">Lithium : </w:t>
      </w:r>
      <w:proofErr w:type="spellStart"/>
      <w:r w:rsidRPr="00DD5C8C">
        <w:rPr>
          <w:rFonts w:ascii="Lato" w:eastAsia="Times New Roman" w:hAnsi="Lato" w:cs="Times New Roman"/>
          <w:b/>
          <w:bCs/>
          <w:color w:val="A52A2A"/>
          <w:sz w:val="23"/>
          <w:szCs w:val="23"/>
          <w:lang w:eastAsia="fr-BE"/>
        </w:rPr>
        <w:t>Codelco</w:t>
      </w:r>
      <w:proofErr w:type="spellEnd"/>
      <w:r w:rsidRPr="00DD5C8C">
        <w:rPr>
          <w:rFonts w:ascii="Lato" w:eastAsia="Times New Roman" w:hAnsi="Lato" w:cs="Times New Roman"/>
          <w:b/>
          <w:bCs/>
          <w:color w:val="A52A2A"/>
          <w:sz w:val="23"/>
          <w:szCs w:val="23"/>
          <w:lang w:eastAsia="fr-BE"/>
        </w:rPr>
        <w:t xml:space="preserve"> étudie ses options</w:t>
      </w:r>
    </w:p>
    <w:p w14:paraId="1BAE76DF" w14:textId="77777777" w:rsidR="00DD5C8C" w:rsidRPr="00DD5C8C" w:rsidRDefault="00DD5C8C" w:rsidP="00DD5C8C">
      <w:pPr>
        <w:shd w:val="clear" w:color="auto" w:fill="FFFFFF"/>
        <w:spacing w:before="75" w:after="75" w:line="240" w:lineRule="auto"/>
        <w:jc w:val="both"/>
        <w:rPr>
          <w:rFonts w:ascii="Lato" w:eastAsia="Times New Roman" w:hAnsi="Lato" w:cs="Times New Roman"/>
          <w:color w:val="000000"/>
          <w:sz w:val="23"/>
          <w:szCs w:val="23"/>
          <w:lang w:eastAsia="fr-BE"/>
        </w:rPr>
      </w:pPr>
      <w:proofErr w:type="spellStart"/>
      <w:r w:rsidRPr="00DD5C8C">
        <w:rPr>
          <w:rFonts w:ascii="Lato" w:eastAsia="Times New Roman" w:hAnsi="Lato" w:cs="Times New Roman"/>
          <w:color w:val="000000"/>
          <w:sz w:val="23"/>
          <w:szCs w:val="23"/>
          <w:lang w:eastAsia="fr-BE"/>
        </w:rPr>
        <w:t>Codelco</w:t>
      </w:r>
      <w:proofErr w:type="spellEnd"/>
      <w:r w:rsidRPr="00DD5C8C">
        <w:rPr>
          <w:rFonts w:ascii="Lato" w:eastAsia="Times New Roman" w:hAnsi="Lato" w:cs="Times New Roman"/>
          <w:color w:val="000000"/>
          <w:sz w:val="23"/>
          <w:szCs w:val="23"/>
          <w:lang w:eastAsia="fr-BE"/>
        </w:rPr>
        <w:t xml:space="preserve"> va terminer la phase exploratoire de son programme de lithium au Chili au premier trimestre 2023, et déterminera ensuite les prochaines étapes, notamment la technologie qui sera utilisée, a indiqué le </w:t>
      </w:r>
      <w:proofErr w:type="spellStart"/>
      <w:r w:rsidRPr="00DD5C8C">
        <w:rPr>
          <w:rFonts w:ascii="Lato" w:eastAsia="Times New Roman" w:hAnsi="Lato" w:cs="Times New Roman"/>
          <w:color w:val="000000"/>
          <w:sz w:val="23"/>
          <w:szCs w:val="23"/>
          <w:lang w:eastAsia="fr-BE"/>
        </w:rPr>
        <w:t>pdg</w:t>
      </w:r>
      <w:proofErr w:type="spellEnd"/>
      <w:r w:rsidRPr="00DD5C8C">
        <w:rPr>
          <w:rFonts w:ascii="Lato" w:eastAsia="Times New Roman" w:hAnsi="Lato" w:cs="Times New Roman"/>
          <w:color w:val="000000"/>
          <w:sz w:val="23"/>
          <w:szCs w:val="23"/>
          <w:lang w:eastAsia="fr-BE"/>
        </w:rPr>
        <w:t xml:space="preserve"> du groupe. S’exprimant lors de la LME Week, Maximo Pacheco a indiqué que </w:t>
      </w:r>
      <w:proofErr w:type="spellStart"/>
      <w:r w:rsidRPr="00DD5C8C">
        <w:rPr>
          <w:rFonts w:ascii="Lato" w:eastAsia="Times New Roman" w:hAnsi="Lato" w:cs="Times New Roman"/>
          <w:color w:val="000000"/>
          <w:sz w:val="23"/>
          <w:szCs w:val="23"/>
          <w:lang w:eastAsia="fr-BE"/>
        </w:rPr>
        <w:t>Codelco</w:t>
      </w:r>
      <w:proofErr w:type="spellEnd"/>
      <w:r w:rsidRPr="00DD5C8C">
        <w:rPr>
          <w:rFonts w:ascii="Lato" w:eastAsia="Times New Roman" w:hAnsi="Lato" w:cs="Times New Roman"/>
          <w:color w:val="000000"/>
          <w:sz w:val="23"/>
          <w:szCs w:val="23"/>
          <w:lang w:eastAsia="fr-BE"/>
        </w:rPr>
        <w:t xml:space="preserve"> investirait environ 70-80 millions de dollars sur ce programme. « </w:t>
      </w:r>
      <w:r w:rsidRPr="00DD5C8C">
        <w:rPr>
          <w:rFonts w:ascii="Lato" w:eastAsia="Times New Roman" w:hAnsi="Lato" w:cs="Times New Roman"/>
          <w:i/>
          <w:iCs/>
          <w:color w:val="000000"/>
          <w:sz w:val="23"/>
          <w:szCs w:val="23"/>
          <w:lang w:eastAsia="fr-BE"/>
        </w:rPr>
        <w:t>Ce programme sera finalisé au premier trimestre 2023, et nous permettra d’avoir une meilleure appréhension de nos réserves. Nous travaillons avec le gouvernement pour clarifier les concessions et l’aspect législatif pour soutenir cette activité</w:t>
      </w:r>
      <w:r w:rsidRPr="00DD5C8C">
        <w:rPr>
          <w:rFonts w:ascii="Lato" w:eastAsia="Times New Roman" w:hAnsi="Lato" w:cs="Times New Roman"/>
          <w:color w:val="000000"/>
          <w:sz w:val="23"/>
          <w:szCs w:val="23"/>
          <w:lang w:eastAsia="fr-BE"/>
        </w:rPr>
        <w:t> », a précisé le dirigeant. « </w:t>
      </w:r>
      <w:r w:rsidRPr="00DD5C8C">
        <w:rPr>
          <w:rFonts w:ascii="Lato" w:eastAsia="Times New Roman" w:hAnsi="Lato" w:cs="Times New Roman"/>
          <w:i/>
          <w:iCs/>
          <w:color w:val="000000"/>
          <w:sz w:val="23"/>
          <w:szCs w:val="23"/>
          <w:lang w:eastAsia="fr-BE"/>
        </w:rPr>
        <w:t>Nous devons déterminer la technologie que nous allons utiliser. Une décision importante puisqu’il existe plusieurs options, et que, bien sûr, nous chercherons une option dont l’impact sur l’environnement est limité</w:t>
      </w:r>
      <w:r w:rsidRPr="00DD5C8C">
        <w:rPr>
          <w:rFonts w:ascii="Lato" w:eastAsia="Times New Roman" w:hAnsi="Lato" w:cs="Times New Roman"/>
          <w:color w:val="000000"/>
          <w:sz w:val="23"/>
          <w:szCs w:val="23"/>
          <w:lang w:eastAsia="fr-BE"/>
        </w:rPr>
        <w:t> », ajoute-t-il. Alors que de nombreux pays, à l’échelle mondiale, tentent de sécuriser leur approvisionnement en lithium, le Chili part avec une longueur d’avance puisqu’il possède les plus importantes réserves. Le pays, deuxième producteur mondial, a déjà annoncé son projet faire passer une loi au Congrès en vue de créer une entreprise d’état. « </w:t>
      </w:r>
      <w:r w:rsidRPr="00DD5C8C">
        <w:rPr>
          <w:rFonts w:ascii="Lato" w:eastAsia="Times New Roman" w:hAnsi="Lato" w:cs="Times New Roman"/>
          <w:i/>
          <w:iCs/>
          <w:color w:val="000000"/>
          <w:sz w:val="23"/>
          <w:szCs w:val="23"/>
          <w:lang w:eastAsia="fr-BE"/>
        </w:rPr>
        <w:t>Nous suivons les discussions concernant la création d’une entreprise d’état afin de s’assurer que nous avons des options. Nous verrons comment les choses évoluent en termes de programmes géologiques, permis et nouvelles lois pour nous permettre de prendre une décision</w:t>
      </w:r>
      <w:r w:rsidRPr="00DD5C8C">
        <w:rPr>
          <w:rFonts w:ascii="Lato" w:eastAsia="Times New Roman" w:hAnsi="Lato" w:cs="Times New Roman"/>
          <w:color w:val="000000"/>
          <w:sz w:val="23"/>
          <w:szCs w:val="23"/>
          <w:lang w:eastAsia="fr-BE"/>
        </w:rPr>
        <w:t> », explique M. Pacheco. « </w:t>
      </w:r>
      <w:r w:rsidRPr="00DD5C8C">
        <w:rPr>
          <w:rFonts w:ascii="Lato" w:eastAsia="Times New Roman" w:hAnsi="Lato" w:cs="Times New Roman"/>
          <w:i/>
          <w:iCs/>
          <w:color w:val="000000"/>
          <w:sz w:val="23"/>
          <w:szCs w:val="23"/>
          <w:lang w:eastAsia="fr-BE"/>
        </w:rPr>
        <w:t>Il est clair pour nous qu’un pays comme le Chili, qui possède d’importantes réserves de cuivre et de lithium, dans cette période marquée par la décarbonation et la transition énergétique, aura des besoins en lithium. Nous suivons donc la création de cette entreprise d’état avec beaucoup d’intérêt</w:t>
      </w:r>
      <w:r w:rsidRPr="00DD5C8C">
        <w:rPr>
          <w:rFonts w:ascii="Lato" w:eastAsia="Times New Roman" w:hAnsi="Lato" w:cs="Times New Roman"/>
          <w:color w:val="000000"/>
          <w:sz w:val="23"/>
          <w:szCs w:val="23"/>
          <w:lang w:eastAsia="fr-BE"/>
        </w:rPr>
        <w:t xml:space="preserve"> », précise-t-il. Lorsque des matières premières sont extraites des </w:t>
      </w:r>
      <w:proofErr w:type="spellStart"/>
      <w:r w:rsidRPr="00DD5C8C">
        <w:rPr>
          <w:rFonts w:ascii="Lato" w:eastAsia="Times New Roman" w:hAnsi="Lato" w:cs="Times New Roman"/>
          <w:color w:val="000000"/>
          <w:sz w:val="23"/>
          <w:szCs w:val="23"/>
          <w:lang w:eastAsia="fr-BE"/>
        </w:rPr>
        <w:t>salars</w:t>
      </w:r>
      <w:proofErr w:type="spellEnd"/>
      <w:r w:rsidRPr="00DD5C8C">
        <w:rPr>
          <w:rFonts w:ascii="Lato" w:eastAsia="Times New Roman" w:hAnsi="Lato" w:cs="Times New Roman"/>
          <w:color w:val="000000"/>
          <w:sz w:val="23"/>
          <w:szCs w:val="23"/>
          <w:lang w:eastAsia="fr-BE"/>
        </w:rPr>
        <w:t>, les eaux salées contenant du lithium sont ramenées à la surface et s’évaporent dans de grands bassins. La solution saline qui est extraite est ensuite transformée pour que le lithium soit utilisable dans les batteries. Il est souvent reproché au processus d’extraction d’accroître les périodes de sécheresse, de menacer l’élevage du bétail et d’entraîner la destruction des cultures dans les communautés voisines. </w:t>
      </w:r>
    </w:p>
    <w:p w14:paraId="0F1309FA" w14:textId="77777777" w:rsidR="00DD5C8C" w:rsidRPr="00DD5C8C" w:rsidRDefault="00DD5C8C" w:rsidP="00DD5C8C">
      <w:pPr>
        <w:shd w:val="clear" w:color="auto" w:fill="FFFFFF"/>
        <w:spacing w:before="75" w:after="75" w:line="240" w:lineRule="auto"/>
        <w:jc w:val="both"/>
        <w:rPr>
          <w:rFonts w:ascii="Lato" w:eastAsia="Times New Roman" w:hAnsi="Lato" w:cs="Times New Roman"/>
          <w:color w:val="000000"/>
          <w:sz w:val="23"/>
          <w:szCs w:val="23"/>
          <w:lang w:eastAsia="fr-BE"/>
        </w:rPr>
      </w:pPr>
      <w:r w:rsidRPr="00DD5C8C">
        <w:rPr>
          <w:rFonts w:ascii="Lato" w:eastAsia="Times New Roman" w:hAnsi="Lato" w:cs="Times New Roman"/>
          <w:color w:val="000000"/>
          <w:sz w:val="23"/>
          <w:szCs w:val="23"/>
          <w:lang w:eastAsia="fr-BE"/>
        </w:rPr>
        <w:t xml:space="preserve">Par ailleurs, </w:t>
      </w:r>
      <w:proofErr w:type="spellStart"/>
      <w:r w:rsidRPr="00DD5C8C">
        <w:rPr>
          <w:rFonts w:ascii="Lato" w:eastAsia="Times New Roman" w:hAnsi="Lato" w:cs="Times New Roman"/>
          <w:color w:val="000000"/>
          <w:sz w:val="23"/>
          <w:szCs w:val="23"/>
          <w:lang w:eastAsia="fr-BE"/>
        </w:rPr>
        <w:t>Eramet</w:t>
      </w:r>
      <w:proofErr w:type="spellEnd"/>
      <w:r w:rsidRPr="00DD5C8C">
        <w:rPr>
          <w:rFonts w:ascii="Lato" w:eastAsia="Times New Roman" w:hAnsi="Lato" w:cs="Times New Roman"/>
          <w:color w:val="000000"/>
          <w:sz w:val="23"/>
          <w:szCs w:val="23"/>
          <w:lang w:eastAsia="fr-BE"/>
        </w:rPr>
        <w:t xml:space="preserve"> étudie la possibilité de doubler l’objectif de production de son projet de lithium en Argentine. Lors de la publication de ses résultats du troisième trimestre, le groupe français a ainsi annoncé avoir entamé une étude de préfaisabilité sur le potentiel d’une phase 2 d’expansion du projet du gisement </w:t>
      </w:r>
      <w:proofErr w:type="spellStart"/>
      <w:r w:rsidRPr="00DD5C8C">
        <w:rPr>
          <w:rFonts w:ascii="Lato" w:eastAsia="Times New Roman" w:hAnsi="Lato" w:cs="Times New Roman"/>
          <w:color w:val="000000"/>
          <w:sz w:val="23"/>
          <w:szCs w:val="23"/>
          <w:lang w:eastAsia="fr-BE"/>
        </w:rPr>
        <w:t>Centenario</w:t>
      </w:r>
      <w:proofErr w:type="spellEnd"/>
      <w:r w:rsidRPr="00DD5C8C">
        <w:rPr>
          <w:rFonts w:ascii="Lato" w:eastAsia="Times New Roman" w:hAnsi="Lato" w:cs="Times New Roman"/>
          <w:color w:val="000000"/>
          <w:sz w:val="23"/>
          <w:szCs w:val="23"/>
          <w:lang w:eastAsia="fr-BE"/>
        </w:rPr>
        <w:t xml:space="preserve">, qu’il développe avec le groupe sidérurgique chinois </w:t>
      </w:r>
      <w:proofErr w:type="spellStart"/>
      <w:r w:rsidRPr="00DD5C8C">
        <w:rPr>
          <w:rFonts w:ascii="Lato" w:eastAsia="Times New Roman" w:hAnsi="Lato" w:cs="Times New Roman"/>
          <w:color w:val="000000"/>
          <w:sz w:val="23"/>
          <w:szCs w:val="23"/>
          <w:lang w:eastAsia="fr-BE"/>
        </w:rPr>
        <w:t>Tsingshan</w:t>
      </w:r>
      <w:proofErr w:type="spellEnd"/>
      <w:r w:rsidRPr="00DD5C8C">
        <w:rPr>
          <w:rFonts w:ascii="Lato" w:eastAsia="Times New Roman" w:hAnsi="Lato" w:cs="Times New Roman"/>
          <w:color w:val="000000"/>
          <w:sz w:val="23"/>
          <w:szCs w:val="23"/>
          <w:lang w:eastAsia="fr-BE"/>
        </w:rPr>
        <w:t>. « </w:t>
      </w:r>
      <w:r w:rsidRPr="00DD5C8C">
        <w:rPr>
          <w:rFonts w:ascii="Lato" w:eastAsia="Times New Roman" w:hAnsi="Lato" w:cs="Times New Roman"/>
          <w:i/>
          <w:iCs/>
          <w:color w:val="000000"/>
          <w:sz w:val="23"/>
          <w:szCs w:val="23"/>
          <w:lang w:eastAsia="fr-BE"/>
        </w:rPr>
        <w:t>Bien qu'elle soit encore à un stade préliminaire, cette étude examine la possibilité de doubler la capacité de production annuelle de la phase 1</w:t>
      </w:r>
      <w:r w:rsidRPr="00DD5C8C">
        <w:rPr>
          <w:rFonts w:ascii="Lato" w:eastAsia="Times New Roman" w:hAnsi="Lato" w:cs="Times New Roman"/>
          <w:color w:val="000000"/>
          <w:sz w:val="23"/>
          <w:szCs w:val="23"/>
          <w:lang w:eastAsia="fr-BE"/>
        </w:rPr>
        <w:t xml:space="preserve"> », a déclaré </w:t>
      </w:r>
      <w:proofErr w:type="spellStart"/>
      <w:r w:rsidRPr="00DD5C8C">
        <w:rPr>
          <w:rFonts w:ascii="Lato" w:eastAsia="Times New Roman" w:hAnsi="Lato" w:cs="Times New Roman"/>
          <w:color w:val="000000"/>
          <w:sz w:val="23"/>
          <w:szCs w:val="23"/>
          <w:lang w:eastAsia="fr-BE"/>
        </w:rPr>
        <w:t>Eramet</w:t>
      </w:r>
      <w:proofErr w:type="spellEnd"/>
      <w:r w:rsidRPr="00DD5C8C">
        <w:rPr>
          <w:rFonts w:ascii="Lato" w:eastAsia="Times New Roman" w:hAnsi="Lato" w:cs="Times New Roman"/>
          <w:color w:val="000000"/>
          <w:sz w:val="23"/>
          <w:szCs w:val="23"/>
          <w:lang w:eastAsia="fr-BE"/>
        </w:rPr>
        <w:t>.</w:t>
      </w:r>
    </w:p>
    <w:p w14:paraId="687281CD" w14:textId="77777777" w:rsidR="00DD5C8C" w:rsidRPr="00DD5C8C" w:rsidRDefault="00DD5C8C" w:rsidP="00DD5C8C">
      <w:pPr>
        <w:shd w:val="clear" w:color="auto" w:fill="FFFFFF"/>
        <w:spacing w:before="75" w:after="75" w:line="240" w:lineRule="auto"/>
        <w:jc w:val="both"/>
        <w:rPr>
          <w:rFonts w:ascii="Lato" w:eastAsia="Times New Roman" w:hAnsi="Lato" w:cs="Times New Roman"/>
          <w:color w:val="000000"/>
          <w:sz w:val="23"/>
          <w:szCs w:val="23"/>
          <w:lang w:eastAsia="fr-BE"/>
        </w:rPr>
      </w:pPr>
      <w:r w:rsidRPr="00DD5C8C">
        <w:rPr>
          <w:rFonts w:ascii="Lato" w:eastAsia="Times New Roman" w:hAnsi="Lato" w:cs="Times New Roman"/>
          <w:color w:val="000000"/>
          <w:sz w:val="23"/>
          <w:szCs w:val="23"/>
          <w:lang w:eastAsia="fr-BE"/>
        </w:rPr>
        <w:t> </w:t>
      </w:r>
    </w:p>
    <w:p w14:paraId="0BEA8857" w14:textId="77777777" w:rsidR="00DD5C8C" w:rsidRPr="00DD5C8C" w:rsidRDefault="00DD5C8C" w:rsidP="00DD5C8C">
      <w:pPr>
        <w:shd w:val="clear" w:color="auto" w:fill="FFFFFF"/>
        <w:spacing w:before="75" w:after="75" w:line="240" w:lineRule="auto"/>
        <w:jc w:val="both"/>
        <w:rPr>
          <w:rFonts w:ascii="Lato" w:eastAsia="Times New Roman" w:hAnsi="Lato" w:cs="Times New Roman"/>
          <w:color w:val="000000"/>
          <w:sz w:val="23"/>
          <w:szCs w:val="23"/>
          <w:lang w:eastAsia="fr-BE"/>
        </w:rPr>
      </w:pPr>
      <w:r w:rsidRPr="00DD5C8C">
        <w:rPr>
          <w:rFonts w:ascii="Lato" w:eastAsia="Times New Roman" w:hAnsi="Lato" w:cs="Times New Roman"/>
          <w:b/>
          <w:bCs/>
          <w:color w:val="A52A2A"/>
          <w:sz w:val="23"/>
          <w:szCs w:val="23"/>
          <w:lang w:eastAsia="fr-BE"/>
        </w:rPr>
        <w:t>Ferroalliages / Ukraine : la production en net repli sur la période janvier-août</w:t>
      </w:r>
    </w:p>
    <w:p w14:paraId="3F7D368A" w14:textId="77777777" w:rsidR="00DD5C8C" w:rsidRPr="00DD5C8C" w:rsidRDefault="00DD5C8C" w:rsidP="00DD5C8C">
      <w:pPr>
        <w:shd w:val="clear" w:color="auto" w:fill="FFFFFF"/>
        <w:spacing w:before="75" w:after="75" w:line="240" w:lineRule="auto"/>
        <w:jc w:val="both"/>
        <w:rPr>
          <w:rFonts w:ascii="Lato" w:eastAsia="Times New Roman" w:hAnsi="Lato" w:cs="Times New Roman"/>
          <w:color w:val="000000"/>
          <w:sz w:val="23"/>
          <w:szCs w:val="23"/>
          <w:lang w:eastAsia="fr-BE"/>
        </w:rPr>
      </w:pPr>
      <w:r w:rsidRPr="00DD5C8C">
        <w:rPr>
          <w:rFonts w:ascii="Lato" w:eastAsia="Times New Roman" w:hAnsi="Lato" w:cs="Times New Roman"/>
          <w:color w:val="000000"/>
          <w:sz w:val="23"/>
          <w:szCs w:val="23"/>
          <w:lang w:eastAsia="fr-BE"/>
        </w:rPr>
        <w:t>Les producteurs ukrainiens de ferroalliages ont réduit leur production sur la période janvier-août, a indiqué l’association ukrainienne des producteurs de ferroalliages (</w:t>
      </w:r>
      <w:proofErr w:type="spellStart"/>
      <w:r w:rsidRPr="00DD5C8C">
        <w:rPr>
          <w:rFonts w:ascii="Lato" w:eastAsia="Times New Roman" w:hAnsi="Lato" w:cs="Times New Roman"/>
          <w:color w:val="000000"/>
          <w:sz w:val="23"/>
          <w:szCs w:val="23"/>
          <w:lang w:eastAsia="fr-BE"/>
        </w:rPr>
        <w:t>UkrFA</w:t>
      </w:r>
      <w:proofErr w:type="spellEnd"/>
      <w:r w:rsidRPr="00DD5C8C">
        <w:rPr>
          <w:rFonts w:ascii="Lato" w:eastAsia="Times New Roman" w:hAnsi="Lato" w:cs="Times New Roman"/>
          <w:color w:val="000000"/>
          <w:sz w:val="23"/>
          <w:szCs w:val="23"/>
          <w:lang w:eastAsia="fr-BE"/>
        </w:rPr>
        <w:t xml:space="preserve">). Le pays a peiné à produire à ses niveaux habituels en raison de l’invasion russe et de la flambée </w:t>
      </w:r>
      <w:proofErr w:type="gramStart"/>
      <w:r w:rsidRPr="00DD5C8C">
        <w:rPr>
          <w:rFonts w:ascii="Lato" w:eastAsia="Times New Roman" w:hAnsi="Lato" w:cs="Times New Roman"/>
          <w:color w:val="000000"/>
          <w:sz w:val="23"/>
          <w:szCs w:val="23"/>
          <w:lang w:eastAsia="fr-BE"/>
        </w:rPr>
        <w:t>des  coûts</w:t>
      </w:r>
      <w:proofErr w:type="gramEnd"/>
      <w:r w:rsidRPr="00DD5C8C">
        <w:rPr>
          <w:rFonts w:ascii="Lato" w:eastAsia="Times New Roman" w:hAnsi="Lato" w:cs="Times New Roman"/>
          <w:color w:val="000000"/>
          <w:sz w:val="23"/>
          <w:szCs w:val="23"/>
          <w:lang w:eastAsia="fr-BE"/>
        </w:rPr>
        <w:t xml:space="preserve"> de l’électricité. La production globale sur la période a totalisé 399.460 tonnes, en repli de 32 % en glissement annuel. La production de ferromanganèse a chuté de 70.7 %, à 20.690 tonnes, la production de silico-manganèse a baissé de 22.2 %, à 356.500 tonnes et la production de </w:t>
      </w:r>
      <w:proofErr w:type="spellStart"/>
      <w:r w:rsidRPr="00DD5C8C">
        <w:rPr>
          <w:rFonts w:ascii="Lato" w:eastAsia="Times New Roman" w:hAnsi="Lato" w:cs="Times New Roman"/>
          <w:color w:val="000000"/>
          <w:sz w:val="23"/>
          <w:szCs w:val="23"/>
          <w:lang w:eastAsia="fr-BE"/>
        </w:rPr>
        <w:t>ferro</w:t>
      </w:r>
      <w:proofErr w:type="spellEnd"/>
      <w:r w:rsidRPr="00DD5C8C">
        <w:rPr>
          <w:rFonts w:ascii="Lato" w:eastAsia="Times New Roman" w:hAnsi="Lato" w:cs="Times New Roman"/>
          <w:color w:val="000000"/>
          <w:sz w:val="23"/>
          <w:szCs w:val="23"/>
          <w:lang w:eastAsia="fr-BE"/>
        </w:rPr>
        <w:t>-silicium a dévissé de 63.4 %, à 19.720 tonnes.</w:t>
      </w:r>
    </w:p>
    <w:p w14:paraId="41A22A2B" w14:textId="77777777" w:rsidR="00DD5C8C" w:rsidRPr="00DD5C8C" w:rsidRDefault="00DD5C8C" w:rsidP="00DD5C8C">
      <w:pPr>
        <w:shd w:val="clear" w:color="auto" w:fill="FFFFFF"/>
        <w:spacing w:before="75" w:after="75" w:line="240" w:lineRule="auto"/>
        <w:jc w:val="both"/>
        <w:rPr>
          <w:rFonts w:ascii="Lato" w:eastAsia="Times New Roman" w:hAnsi="Lato" w:cs="Times New Roman"/>
          <w:color w:val="000000"/>
          <w:sz w:val="23"/>
          <w:szCs w:val="23"/>
          <w:lang w:eastAsia="fr-BE"/>
        </w:rPr>
      </w:pPr>
      <w:r w:rsidRPr="00DD5C8C">
        <w:rPr>
          <w:rFonts w:ascii="Lato" w:eastAsia="Times New Roman" w:hAnsi="Lato" w:cs="Times New Roman"/>
          <w:color w:val="000000"/>
          <w:sz w:val="23"/>
          <w:szCs w:val="23"/>
          <w:lang w:eastAsia="fr-BE"/>
        </w:rPr>
        <w:lastRenderedPageBreak/>
        <w:t>En septembre, l’Ukraine vu ses exportations de ferroalliages augmenter, et ce, pour le deuxième mois consécutif. Les volumes restent toutefois inférieurs à ceux de l’année dernière.</w:t>
      </w:r>
    </w:p>
    <w:p w14:paraId="05388BE4" w14:textId="77777777" w:rsidR="00DD5C8C" w:rsidRPr="00DD5C8C" w:rsidRDefault="00DD5C8C" w:rsidP="00DD5C8C">
      <w:pPr>
        <w:shd w:val="clear" w:color="auto" w:fill="FFFFFF"/>
        <w:spacing w:before="75" w:after="75" w:line="240" w:lineRule="auto"/>
        <w:jc w:val="both"/>
        <w:rPr>
          <w:rFonts w:ascii="Lato" w:eastAsia="Times New Roman" w:hAnsi="Lato" w:cs="Times New Roman"/>
          <w:color w:val="000000"/>
          <w:sz w:val="23"/>
          <w:szCs w:val="23"/>
          <w:lang w:eastAsia="fr-BE"/>
        </w:rPr>
      </w:pPr>
      <w:r w:rsidRPr="00DD5C8C">
        <w:rPr>
          <w:rFonts w:ascii="Lato" w:eastAsia="Times New Roman" w:hAnsi="Lato" w:cs="Times New Roman"/>
          <w:color w:val="000000"/>
          <w:sz w:val="23"/>
          <w:szCs w:val="23"/>
          <w:lang w:eastAsia="fr-BE"/>
        </w:rPr>
        <w:t> </w:t>
      </w:r>
    </w:p>
    <w:p w14:paraId="58C012BD" w14:textId="77777777" w:rsidR="00D268F3" w:rsidRDefault="00D268F3"/>
    <w:sectPr w:rsidR="00D26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8C"/>
    <w:rsid w:val="00D268F3"/>
    <w:rsid w:val="00DD5C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4693"/>
  <w15:chartTrackingRefBased/>
  <w15:docId w15:val="{1255E1C8-F71D-4EF0-9D74-ADDCB6F3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63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3363</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2022-11-02T07:29:00Z</dcterms:created>
  <dcterms:modified xsi:type="dcterms:W3CDTF">2022-11-02T07:30:00Z</dcterms:modified>
</cp:coreProperties>
</file>